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C54F22" w:rsidTr="00C54F22">
        <w:tc>
          <w:tcPr>
            <w:tcW w:w="8528" w:type="dxa"/>
            <w:gridSpan w:val="3"/>
          </w:tcPr>
          <w:p w:rsidR="00C54F22" w:rsidRDefault="00C54F22" w:rsidP="00C54F22">
            <w:pPr>
              <w:pStyle w:val="2"/>
              <w:jc w:val="center"/>
              <w:outlineLvl w:val="1"/>
            </w:pPr>
            <w:r w:rsidRPr="005A043D">
              <w:rPr>
                <w:rFonts w:hint="eastAsia"/>
              </w:rPr>
              <w:t>对外经济贸易大学第七届教职工代表大会提案工作简报</w:t>
            </w:r>
          </w:p>
        </w:tc>
      </w:tr>
      <w:tr w:rsidR="00C54F22" w:rsidTr="00C54F22">
        <w:tc>
          <w:tcPr>
            <w:tcW w:w="2842" w:type="dxa"/>
          </w:tcPr>
          <w:p w:rsidR="00C54F22" w:rsidRDefault="00C54F22" w:rsidP="00CD0ACF">
            <w:pPr>
              <w:pStyle w:val="2"/>
              <w:jc w:val="center"/>
              <w:outlineLvl w:val="1"/>
            </w:pPr>
          </w:p>
        </w:tc>
        <w:tc>
          <w:tcPr>
            <w:tcW w:w="2843" w:type="dxa"/>
          </w:tcPr>
          <w:p w:rsidR="00C54F22" w:rsidRPr="00C54F22" w:rsidRDefault="00C54F22" w:rsidP="00C54F22">
            <w:pPr>
              <w:pStyle w:val="2"/>
              <w:jc w:val="center"/>
              <w:outlineLvl w:val="1"/>
              <w:rPr>
                <w:rFonts w:ascii="Times New Roman" w:hAnsi="Times New Roman"/>
              </w:rPr>
            </w:pPr>
            <w:r w:rsidRPr="00C54F22">
              <w:rPr>
                <w:rFonts w:ascii="Times New Roman" w:hAnsi="Times New Roman"/>
              </w:rPr>
              <w:t>2016</w:t>
            </w:r>
            <w:r w:rsidRPr="00C54F22">
              <w:rPr>
                <w:rFonts w:ascii="Times New Roman"/>
              </w:rPr>
              <w:t>年第</w:t>
            </w:r>
            <w:r w:rsidR="00E25529">
              <w:rPr>
                <w:rFonts w:ascii="Times New Roman" w:hAnsi="Times New Roman" w:hint="eastAsia"/>
              </w:rPr>
              <w:t>4</w:t>
            </w:r>
            <w:r w:rsidRPr="00C54F22">
              <w:rPr>
                <w:rFonts w:ascii="Times New Roman"/>
              </w:rPr>
              <w:t>号</w:t>
            </w:r>
          </w:p>
        </w:tc>
        <w:tc>
          <w:tcPr>
            <w:tcW w:w="2843" w:type="dxa"/>
          </w:tcPr>
          <w:p w:rsidR="00C54F22" w:rsidRDefault="00C54F22" w:rsidP="00CD0ACF">
            <w:pPr>
              <w:pStyle w:val="2"/>
              <w:jc w:val="center"/>
              <w:outlineLvl w:val="1"/>
            </w:pPr>
          </w:p>
        </w:tc>
      </w:tr>
      <w:tr w:rsidR="00C54F22" w:rsidRPr="009C4614" w:rsidTr="00C54F22">
        <w:tc>
          <w:tcPr>
            <w:tcW w:w="8528" w:type="dxa"/>
            <w:gridSpan w:val="3"/>
            <w:tcBorders>
              <w:bottom w:val="single" w:sz="4" w:space="0" w:color="auto"/>
            </w:tcBorders>
          </w:tcPr>
          <w:p w:rsidR="00C54F22" w:rsidRPr="009C4614" w:rsidRDefault="00C54F22" w:rsidP="00DB41C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614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校提案工作委员会办公室、校工会</w:t>
            </w:r>
            <w:r w:rsidRPr="009C4614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Pr="009C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201</w:t>
            </w:r>
            <w:r w:rsidRPr="009C4614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6</w:t>
            </w:r>
            <w:r w:rsidRPr="009C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年</w:t>
            </w:r>
            <w:r w:rsidRPr="009C4614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12</w:t>
            </w:r>
            <w:r w:rsidRPr="009C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月</w:t>
            </w:r>
            <w:r w:rsidR="009C4614" w:rsidRPr="009C4614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30</w:t>
            </w:r>
            <w:r w:rsidRPr="009C4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0D34E7" w:rsidRPr="003655F8" w:rsidRDefault="000D34E7" w:rsidP="000D34E7">
      <w:pPr>
        <w:pStyle w:val="2"/>
        <w:jc w:val="center"/>
      </w:pPr>
      <w:r w:rsidRPr="004A0791">
        <w:rPr>
          <w:rFonts w:ascii="仿宋_GB2312" w:eastAsia="仿宋_GB2312" w:hint="eastAsia"/>
        </w:rPr>
        <w:t>对第七届教代会第</w:t>
      </w:r>
      <w:r>
        <w:rPr>
          <w:rFonts w:ascii="仿宋_GB2312" w:eastAsia="仿宋_GB2312" w:hint="eastAsia"/>
        </w:rPr>
        <w:t>六</w:t>
      </w:r>
      <w:r w:rsidRPr="004A0791">
        <w:rPr>
          <w:rFonts w:ascii="仿宋_GB2312" w:eastAsia="仿宋_GB2312" w:hint="eastAsia"/>
        </w:rPr>
        <w:t>次会议代表提案中未予立案的提案转为意见处理的解释与回复</w:t>
      </w:r>
      <w:r w:rsidR="00E874B1">
        <w:rPr>
          <w:rFonts w:ascii="仿宋_GB2312" w:eastAsia="仿宋_GB2312" w:hint="eastAsia"/>
        </w:rPr>
        <w:t>（</w:t>
      </w:r>
      <w:r w:rsidR="00E25529">
        <w:rPr>
          <w:rFonts w:ascii="仿宋_GB2312" w:eastAsia="仿宋_GB2312" w:hint="eastAsia"/>
        </w:rPr>
        <w:t>二</w:t>
      </w:r>
      <w:r w:rsidR="00E874B1">
        <w:rPr>
          <w:rFonts w:ascii="仿宋_GB2312" w:eastAsia="仿宋_GB2312" w:hint="eastAsia"/>
        </w:rPr>
        <w:t>）</w:t>
      </w:r>
    </w:p>
    <w:p w:rsidR="00C568F0" w:rsidRPr="001D54AD" w:rsidRDefault="00C568F0" w:rsidP="00C568F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二十四、</w:t>
      </w:r>
      <w:r w:rsidRPr="001D54AD">
        <w:rPr>
          <w:rFonts w:ascii="仿宋_GB2312" w:eastAsia="仿宋_GB2312"/>
          <w:sz w:val="28"/>
          <w:szCs w:val="28"/>
        </w:rPr>
        <w:t>关于提高在职教职工交通补助的提议</w:t>
      </w:r>
    </w:p>
    <w:p w:rsidR="00C568F0" w:rsidRDefault="00C568F0" w:rsidP="00C568F0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390D81">
        <w:rPr>
          <w:rFonts w:ascii="仿宋_GB2312" w:eastAsia="仿宋_GB2312" w:hint="eastAsia"/>
          <w:b/>
          <w:sz w:val="28"/>
          <w:szCs w:val="28"/>
        </w:rPr>
        <w:t>提案工作委员会认为：</w:t>
      </w:r>
      <w:r w:rsidRPr="00674947">
        <w:rPr>
          <w:rFonts w:ascii="仿宋_GB2312" w:eastAsia="仿宋_GB2312" w:hint="eastAsia"/>
          <w:sz w:val="28"/>
          <w:szCs w:val="28"/>
        </w:rPr>
        <w:t>目前</w:t>
      </w:r>
      <w:r w:rsidRPr="001D54AD">
        <w:rPr>
          <w:rFonts w:ascii="仿宋_GB2312" w:eastAsia="仿宋_GB2312" w:hint="eastAsia"/>
          <w:sz w:val="28"/>
          <w:szCs w:val="28"/>
        </w:rPr>
        <w:t>国家</w:t>
      </w:r>
      <w:r>
        <w:rPr>
          <w:rFonts w:ascii="仿宋_GB2312" w:eastAsia="仿宋_GB2312" w:hint="eastAsia"/>
          <w:sz w:val="28"/>
          <w:szCs w:val="28"/>
        </w:rPr>
        <w:t>正在进行</w:t>
      </w:r>
      <w:r w:rsidRPr="00E002A2">
        <w:rPr>
          <w:rFonts w:ascii="仿宋_GB2312" w:eastAsia="仿宋_GB2312" w:hint="eastAsia"/>
          <w:sz w:val="28"/>
          <w:szCs w:val="28"/>
        </w:rPr>
        <w:t>公车改革</w:t>
      </w:r>
      <w:r>
        <w:rPr>
          <w:rFonts w:ascii="仿宋_GB2312" w:eastAsia="仿宋_GB2312" w:hint="eastAsia"/>
          <w:sz w:val="28"/>
          <w:szCs w:val="28"/>
        </w:rPr>
        <w:t>，各单位是否能自行发放交通补贴、可以发放多少尚不明确，现在不宜改变</w:t>
      </w:r>
      <w:r w:rsidRPr="00E002A2">
        <w:rPr>
          <w:rFonts w:ascii="仿宋_GB2312" w:eastAsia="仿宋_GB2312" w:hint="eastAsia"/>
          <w:sz w:val="28"/>
          <w:szCs w:val="28"/>
        </w:rPr>
        <w:t>。</w:t>
      </w:r>
    </w:p>
    <w:p w:rsidR="00C568F0" w:rsidRPr="009C4614" w:rsidRDefault="00C568F0" w:rsidP="00C568F0">
      <w:pPr>
        <w:ind w:firstLineChars="200" w:firstLine="562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9C4614">
        <w:rPr>
          <w:rFonts w:ascii="仿宋_GB2312" w:eastAsia="仿宋_GB2312" w:hint="eastAsia"/>
          <w:b/>
          <w:color w:val="000000" w:themeColor="text1"/>
          <w:sz w:val="28"/>
          <w:szCs w:val="28"/>
        </w:rPr>
        <w:t>资产管理处回复：</w:t>
      </w:r>
      <w:r w:rsidR="009C4614" w:rsidRPr="009C4614">
        <w:rPr>
          <w:rFonts w:ascii="仿宋_GB2312" w:eastAsia="仿宋_GB2312" w:hint="eastAsia"/>
          <w:b/>
          <w:color w:val="000000" w:themeColor="text1"/>
          <w:sz w:val="28"/>
          <w:szCs w:val="28"/>
        </w:rPr>
        <w:t>暂缓</w:t>
      </w:r>
      <w:r w:rsidRPr="009C4614">
        <w:rPr>
          <w:rFonts w:ascii="仿宋_GB2312" w:eastAsia="仿宋_GB2312" w:hint="eastAsia"/>
          <w:b/>
          <w:color w:val="000000" w:themeColor="text1"/>
          <w:sz w:val="28"/>
          <w:szCs w:val="28"/>
        </w:rPr>
        <w:t>落实。</w:t>
      </w:r>
    </w:p>
    <w:p w:rsidR="00C568F0" w:rsidRDefault="00C568F0" w:rsidP="00E2552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二十五、提高购房补贴</w:t>
      </w:r>
    </w:p>
    <w:p w:rsidR="00C568F0" w:rsidRPr="009C4614" w:rsidRDefault="00C568F0" w:rsidP="00C568F0">
      <w:pPr>
        <w:ind w:firstLineChars="200" w:firstLine="562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9C4614">
        <w:rPr>
          <w:rFonts w:ascii="仿宋_GB2312" w:eastAsia="仿宋_GB2312" w:hint="eastAsia"/>
          <w:b/>
          <w:color w:val="000000" w:themeColor="text1"/>
          <w:sz w:val="28"/>
          <w:szCs w:val="28"/>
        </w:rPr>
        <w:t>提案工作委员会认为：</w:t>
      </w:r>
      <w:r w:rsidR="00E135C5" w:rsidRPr="009C4614">
        <w:rPr>
          <w:rFonts w:ascii="仿宋_GB2312" w:eastAsia="仿宋_GB2312" w:hint="eastAsia"/>
          <w:color w:val="000000" w:themeColor="text1"/>
          <w:sz w:val="28"/>
          <w:szCs w:val="28"/>
        </w:rPr>
        <w:t>国家不允许单位擅自发放购房补贴。</w:t>
      </w:r>
    </w:p>
    <w:p w:rsidR="00C568F0" w:rsidRPr="009C4614" w:rsidRDefault="00C568F0" w:rsidP="00C568F0">
      <w:pPr>
        <w:ind w:firstLineChars="200" w:firstLine="562"/>
        <w:rPr>
          <w:rFonts w:ascii="仿宋_GB2312" w:eastAsia="仿宋_GB2312" w:hint="eastAsia"/>
          <w:b/>
          <w:color w:val="000000" w:themeColor="text1"/>
          <w:sz w:val="28"/>
          <w:szCs w:val="28"/>
        </w:rPr>
      </w:pPr>
      <w:r w:rsidRPr="009C4614">
        <w:rPr>
          <w:rFonts w:ascii="仿宋_GB2312" w:eastAsia="仿宋_GB2312" w:hint="eastAsia"/>
          <w:b/>
          <w:color w:val="000000" w:themeColor="text1"/>
          <w:sz w:val="28"/>
          <w:szCs w:val="28"/>
        </w:rPr>
        <w:t>资产管理处回复：无法落实。</w:t>
      </w:r>
    </w:p>
    <w:p w:rsidR="009C4614" w:rsidRPr="009C4614" w:rsidRDefault="009C4614" w:rsidP="009C4614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9C4614">
        <w:rPr>
          <w:rFonts w:ascii="仿宋_GB2312" w:eastAsia="仿宋_GB2312" w:hint="eastAsia"/>
          <w:color w:val="000000" w:themeColor="text1"/>
          <w:sz w:val="28"/>
          <w:szCs w:val="28"/>
        </w:rPr>
        <w:t>国家政策不允许。</w:t>
      </w:r>
    </w:p>
    <w:p w:rsidR="00C568F0" w:rsidRDefault="00C568F0" w:rsidP="00C568F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二十六、提高人才安居基金额度</w:t>
      </w:r>
    </w:p>
    <w:p w:rsidR="00C568F0" w:rsidRPr="002F3D65" w:rsidRDefault="00C568F0" w:rsidP="00C568F0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390D81">
        <w:rPr>
          <w:rFonts w:ascii="仿宋_GB2312" w:eastAsia="仿宋_GB2312" w:hint="eastAsia"/>
          <w:b/>
          <w:sz w:val="28"/>
          <w:szCs w:val="28"/>
        </w:rPr>
        <w:t>提案工作委员会认为：</w:t>
      </w:r>
      <w:r w:rsidRPr="00D01BD0">
        <w:rPr>
          <w:rFonts w:ascii="仿宋_GB2312" w:eastAsia="仿宋_GB2312" w:hint="eastAsia"/>
          <w:sz w:val="28"/>
          <w:szCs w:val="28"/>
        </w:rPr>
        <w:t>在北京市高校房管工作中，我校是唯一一家提供“人才安居基金”政策支持的，</w:t>
      </w:r>
      <w:r>
        <w:rPr>
          <w:rFonts w:ascii="仿宋_GB2312" w:eastAsia="仿宋_GB2312" w:hint="eastAsia"/>
          <w:sz w:val="28"/>
          <w:szCs w:val="28"/>
        </w:rPr>
        <w:t>属于校内政策，只是解决教职工购房的燃眉之急。在没有上级文件精神的情况下，不宜再提高。</w:t>
      </w:r>
    </w:p>
    <w:p w:rsidR="00C568F0" w:rsidRPr="009C4614" w:rsidRDefault="00C568F0" w:rsidP="00C568F0">
      <w:pPr>
        <w:ind w:firstLineChars="200" w:firstLine="562"/>
        <w:rPr>
          <w:rFonts w:ascii="仿宋_GB2312" w:eastAsia="仿宋_GB2312" w:hint="eastAsia"/>
          <w:b/>
          <w:color w:val="000000" w:themeColor="text1"/>
          <w:sz w:val="28"/>
          <w:szCs w:val="28"/>
        </w:rPr>
      </w:pPr>
      <w:r w:rsidRPr="009C4614">
        <w:rPr>
          <w:rFonts w:ascii="仿宋_GB2312" w:eastAsia="仿宋_GB2312" w:hint="eastAsia"/>
          <w:b/>
          <w:color w:val="000000" w:themeColor="text1"/>
          <w:sz w:val="28"/>
          <w:szCs w:val="28"/>
        </w:rPr>
        <w:t>资产管理处回复：</w:t>
      </w:r>
      <w:r w:rsidR="009C4614" w:rsidRPr="009C4614">
        <w:rPr>
          <w:rFonts w:ascii="仿宋_GB2312" w:eastAsia="仿宋_GB2312" w:hint="eastAsia"/>
          <w:b/>
          <w:color w:val="000000" w:themeColor="text1"/>
          <w:sz w:val="28"/>
          <w:szCs w:val="28"/>
        </w:rPr>
        <w:t>无法落实。</w:t>
      </w:r>
    </w:p>
    <w:p w:rsidR="009C4614" w:rsidRPr="009C4614" w:rsidRDefault="009C4614" w:rsidP="009C461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C4614">
        <w:rPr>
          <w:rFonts w:ascii="仿宋_GB2312" w:eastAsia="仿宋_GB2312" w:hint="eastAsia"/>
          <w:sz w:val="28"/>
          <w:szCs w:val="28"/>
        </w:rPr>
        <w:t>国家政策不允许。</w:t>
      </w:r>
    </w:p>
    <w:p w:rsidR="00E25529" w:rsidRDefault="00C568F0" w:rsidP="00E2552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二十七、</w:t>
      </w:r>
      <w:r w:rsidR="00E25529">
        <w:rPr>
          <w:rFonts w:ascii="仿宋_GB2312" w:eastAsia="仿宋_GB2312" w:hint="eastAsia"/>
          <w:sz w:val="28"/>
          <w:szCs w:val="28"/>
        </w:rPr>
        <w:t>关于彻底解决博学楼电梯的议案</w:t>
      </w:r>
    </w:p>
    <w:p w:rsidR="00E25529" w:rsidRDefault="00E25529" w:rsidP="00E25529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390D81">
        <w:rPr>
          <w:rFonts w:ascii="仿宋_GB2312" w:eastAsia="仿宋_GB2312" w:hint="eastAsia"/>
          <w:b/>
          <w:sz w:val="28"/>
          <w:szCs w:val="28"/>
        </w:rPr>
        <w:lastRenderedPageBreak/>
        <w:t>提案工作委员会认为：</w:t>
      </w:r>
      <w:r w:rsidRPr="00DF5DE5">
        <w:rPr>
          <w:rFonts w:ascii="仿宋_GB2312" w:eastAsia="仿宋_GB2312" w:hint="eastAsia"/>
          <w:sz w:val="28"/>
          <w:szCs w:val="28"/>
        </w:rPr>
        <w:t>此提案仅有一名附议人，不符合提案基本规范。另外，所提问题</w:t>
      </w:r>
      <w:r>
        <w:rPr>
          <w:rFonts w:ascii="仿宋_GB2312" w:eastAsia="仿宋_GB2312" w:hint="eastAsia"/>
          <w:sz w:val="28"/>
          <w:szCs w:val="28"/>
        </w:rPr>
        <w:t>正</w:t>
      </w:r>
      <w:r w:rsidRPr="00DF5DE5">
        <w:rPr>
          <w:rFonts w:ascii="仿宋_GB2312" w:eastAsia="仿宋_GB2312" w:hint="eastAsia"/>
          <w:sz w:val="28"/>
          <w:szCs w:val="28"/>
        </w:rPr>
        <w:t>在解决</w:t>
      </w:r>
      <w:r>
        <w:rPr>
          <w:rFonts w:ascii="仿宋_GB2312" w:eastAsia="仿宋_GB2312" w:hint="eastAsia"/>
          <w:sz w:val="28"/>
          <w:szCs w:val="28"/>
        </w:rPr>
        <w:t>中</w:t>
      </w:r>
      <w:r w:rsidRPr="00DF5DE5">
        <w:rPr>
          <w:rFonts w:ascii="仿宋_GB2312" w:eastAsia="仿宋_GB2312" w:hint="eastAsia"/>
          <w:sz w:val="28"/>
          <w:szCs w:val="28"/>
        </w:rPr>
        <w:t>。</w:t>
      </w:r>
    </w:p>
    <w:p w:rsidR="00E25529" w:rsidRPr="009C4614" w:rsidRDefault="00E25529" w:rsidP="00E25529">
      <w:pPr>
        <w:ind w:firstLineChars="200" w:firstLine="562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9C4614">
        <w:rPr>
          <w:rFonts w:ascii="仿宋_GB2312" w:eastAsia="仿宋_GB2312" w:hint="eastAsia"/>
          <w:b/>
          <w:color w:val="000000" w:themeColor="text1"/>
          <w:sz w:val="28"/>
          <w:szCs w:val="28"/>
        </w:rPr>
        <w:t>资产管理处回复：</w:t>
      </w:r>
      <w:r w:rsidR="009C4614" w:rsidRPr="009C4614">
        <w:rPr>
          <w:rFonts w:ascii="仿宋_GB2312" w:eastAsia="仿宋_GB2312" w:hint="eastAsia"/>
          <w:b/>
          <w:color w:val="000000" w:themeColor="text1"/>
          <w:sz w:val="28"/>
          <w:szCs w:val="28"/>
        </w:rPr>
        <w:t>已经落实。</w:t>
      </w:r>
    </w:p>
    <w:p w:rsidR="00E25529" w:rsidRDefault="00C568F0" w:rsidP="00E2552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二十八</w:t>
      </w:r>
      <w:r w:rsidRPr="001D54AD">
        <w:rPr>
          <w:rFonts w:ascii="仿宋_GB2312" w:eastAsia="仿宋_GB2312" w:hint="eastAsia"/>
          <w:sz w:val="28"/>
          <w:szCs w:val="28"/>
        </w:rPr>
        <w:t>、</w:t>
      </w:r>
      <w:r w:rsidR="00E25529">
        <w:rPr>
          <w:rFonts w:ascii="仿宋_GB2312" w:eastAsia="仿宋_GB2312" w:hint="eastAsia"/>
          <w:sz w:val="28"/>
          <w:szCs w:val="28"/>
        </w:rPr>
        <w:t>统计学院办公用房季度紧张</w:t>
      </w:r>
    </w:p>
    <w:p w:rsidR="00A472AC" w:rsidRDefault="00A472AC" w:rsidP="00A472AC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390D81">
        <w:rPr>
          <w:rFonts w:ascii="仿宋_GB2312" w:eastAsia="仿宋_GB2312" w:hint="eastAsia"/>
          <w:b/>
          <w:sz w:val="28"/>
          <w:szCs w:val="28"/>
        </w:rPr>
        <w:t>提案工作委员会认为：</w:t>
      </w:r>
      <w:r w:rsidRPr="00DF5DE5">
        <w:rPr>
          <w:rFonts w:ascii="仿宋_GB2312" w:eastAsia="仿宋_GB2312" w:hint="eastAsia"/>
          <w:sz w:val="28"/>
          <w:szCs w:val="28"/>
        </w:rPr>
        <w:t>此提案</w:t>
      </w:r>
      <w:r>
        <w:rPr>
          <w:rFonts w:ascii="仿宋_GB2312" w:eastAsia="仿宋_GB2312" w:hint="eastAsia"/>
          <w:sz w:val="28"/>
          <w:szCs w:val="28"/>
        </w:rPr>
        <w:t>属于意见范畴，建议统计学院与资产管理处直接沟通协商。</w:t>
      </w:r>
    </w:p>
    <w:p w:rsidR="00E25529" w:rsidRPr="009C4614" w:rsidRDefault="00E25529" w:rsidP="00E25529">
      <w:pPr>
        <w:ind w:firstLineChars="200" w:firstLine="562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9C4614">
        <w:rPr>
          <w:rFonts w:ascii="仿宋_GB2312" w:eastAsia="仿宋_GB2312" w:hint="eastAsia"/>
          <w:b/>
          <w:color w:val="000000" w:themeColor="text1"/>
          <w:sz w:val="28"/>
          <w:szCs w:val="28"/>
        </w:rPr>
        <w:t>资产管理处回复：</w:t>
      </w:r>
      <w:r w:rsidR="009C4614" w:rsidRPr="009C4614">
        <w:rPr>
          <w:rFonts w:ascii="仿宋_GB2312" w:eastAsia="仿宋_GB2312" w:hint="eastAsia"/>
          <w:b/>
          <w:color w:val="000000" w:themeColor="text1"/>
          <w:sz w:val="28"/>
          <w:szCs w:val="28"/>
        </w:rPr>
        <w:t>正在落实。</w:t>
      </w:r>
    </w:p>
    <w:p w:rsidR="00E25529" w:rsidRDefault="00C568F0" w:rsidP="00E2552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二十九、</w:t>
      </w:r>
      <w:r w:rsidR="00E25529">
        <w:rPr>
          <w:rFonts w:ascii="仿宋_GB2312" w:eastAsia="仿宋_GB2312" w:hint="eastAsia"/>
          <w:sz w:val="28"/>
          <w:szCs w:val="28"/>
        </w:rPr>
        <w:t>为每个办公室配备空气净化器</w:t>
      </w:r>
    </w:p>
    <w:p w:rsidR="00E25529" w:rsidRPr="002F3D65" w:rsidRDefault="00E25529" w:rsidP="00E25529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390D81">
        <w:rPr>
          <w:rFonts w:ascii="仿宋_GB2312" w:eastAsia="仿宋_GB2312" w:hint="eastAsia"/>
          <w:b/>
          <w:sz w:val="28"/>
          <w:szCs w:val="28"/>
        </w:rPr>
        <w:t>提案工作委员会认为：</w:t>
      </w:r>
      <w:r w:rsidR="00A472AC">
        <w:rPr>
          <w:rFonts w:ascii="仿宋_GB2312" w:eastAsia="仿宋_GB2312" w:hint="eastAsia"/>
          <w:sz w:val="28"/>
          <w:szCs w:val="28"/>
        </w:rPr>
        <w:t>空气净化器不属于办公用品，也没有规定其为劳保用品，学校无法统一解决</w:t>
      </w:r>
      <w:r w:rsidRPr="001D54AD">
        <w:rPr>
          <w:rFonts w:ascii="仿宋_GB2312" w:eastAsia="仿宋_GB2312" w:hint="eastAsia"/>
          <w:sz w:val="28"/>
          <w:szCs w:val="28"/>
        </w:rPr>
        <w:t>。</w:t>
      </w:r>
    </w:p>
    <w:p w:rsidR="00E25529" w:rsidRPr="009C4614" w:rsidRDefault="00E25529" w:rsidP="00E25529">
      <w:pPr>
        <w:ind w:firstLineChars="200" w:firstLine="562"/>
        <w:rPr>
          <w:rFonts w:ascii="仿宋_GB2312" w:eastAsia="仿宋_GB2312"/>
          <w:color w:val="000000" w:themeColor="text1"/>
          <w:sz w:val="28"/>
          <w:szCs w:val="28"/>
        </w:rPr>
      </w:pPr>
      <w:r w:rsidRPr="009C4614">
        <w:rPr>
          <w:rFonts w:ascii="仿宋_GB2312" w:eastAsia="仿宋_GB2312" w:hint="eastAsia"/>
          <w:b/>
          <w:color w:val="000000" w:themeColor="text1"/>
          <w:sz w:val="28"/>
          <w:szCs w:val="28"/>
        </w:rPr>
        <w:t>资产管理处回复：无法落实。</w:t>
      </w:r>
    </w:p>
    <w:p w:rsidR="00C568F0" w:rsidRPr="00344BF9" w:rsidRDefault="009C4614" w:rsidP="00C568F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空气净化器不在政府采购目录范围内。</w:t>
      </w:r>
    </w:p>
    <w:sectPr w:rsidR="00C568F0" w:rsidRPr="00344BF9" w:rsidSect="00D76F3C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09E" w:rsidRDefault="00C0609E">
      <w:r>
        <w:separator/>
      </w:r>
    </w:p>
  </w:endnote>
  <w:endnote w:type="continuationSeparator" w:id="1">
    <w:p w:rsidR="00C0609E" w:rsidRDefault="00C0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09" w:rsidRDefault="00253FF4" w:rsidP="00D76F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42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209">
      <w:rPr>
        <w:rStyle w:val="a7"/>
        <w:noProof/>
      </w:rPr>
      <w:t>1</w:t>
    </w:r>
    <w:r>
      <w:rPr>
        <w:rStyle w:val="a7"/>
      </w:rPr>
      <w:fldChar w:fldCharType="end"/>
    </w:r>
  </w:p>
  <w:p w:rsidR="00C74209" w:rsidRDefault="00C742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09" w:rsidRDefault="00253FF4" w:rsidP="00D76F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42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4614">
      <w:rPr>
        <w:rStyle w:val="a7"/>
        <w:noProof/>
      </w:rPr>
      <w:t>1</w:t>
    </w:r>
    <w:r>
      <w:rPr>
        <w:rStyle w:val="a7"/>
      </w:rPr>
      <w:fldChar w:fldCharType="end"/>
    </w:r>
  </w:p>
  <w:p w:rsidR="00C74209" w:rsidRDefault="00C742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09E" w:rsidRDefault="00C0609E">
      <w:r>
        <w:separator/>
      </w:r>
    </w:p>
  </w:footnote>
  <w:footnote w:type="continuationSeparator" w:id="1">
    <w:p w:rsidR="00C0609E" w:rsidRDefault="00C06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09" w:rsidRDefault="00C74209" w:rsidP="00C701A3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4064"/>
    <w:multiLevelType w:val="hybridMultilevel"/>
    <w:tmpl w:val="4D60BBA6"/>
    <w:lvl w:ilvl="0" w:tplc="598484FC">
      <w:start w:val="1"/>
      <w:numFmt w:val="decimal"/>
      <w:lvlText w:val="7-5-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F3C"/>
    <w:rsid w:val="00016C56"/>
    <w:rsid w:val="00040E45"/>
    <w:rsid w:val="000463A3"/>
    <w:rsid w:val="0004674D"/>
    <w:rsid w:val="0005345B"/>
    <w:rsid w:val="00081B9D"/>
    <w:rsid w:val="00086042"/>
    <w:rsid w:val="000A6366"/>
    <w:rsid w:val="000C4B6A"/>
    <w:rsid w:val="000D34E7"/>
    <w:rsid w:val="0015078A"/>
    <w:rsid w:val="0016708E"/>
    <w:rsid w:val="001B0DFD"/>
    <w:rsid w:val="001C3B1C"/>
    <w:rsid w:val="001D54AD"/>
    <w:rsid w:val="001E5FD4"/>
    <w:rsid w:val="0020246A"/>
    <w:rsid w:val="002107C8"/>
    <w:rsid w:val="0024216B"/>
    <w:rsid w:val="0024457D"/>
    <w:rsid w:val="002531BE"/>
    <w:rsid w:val="00253FF4"/>
    <w:rsid w:val="00264446"/>
    <w:rsid w:val="0027212B"/>
    <w:rsid w:val="00276111"/>
    <w:rsid w:val="00297689"/>
    <w:rsid w:val="002D46C5"/>
    <w:rsid w:val="002D6F43"/>
    <w:rsid w:val="002F3D65"/>
    <w:rsid w:val="003152C1"/>
    <w:rsid w:val="00344BF9"/>
    <w:rsid w:val="0037068E"/>
    <w:rsid w:val="00381C80"/>
    <w:rsid w:val="00390D81"/>
    <w:rsid w:val="00393DD9"/>
    <w:rsid w:val="0039483C"/>
    <w:rsid w:val="003B7AD2"/>
    <w:rsid w:val="003E7E3C"/>
    <w:rsid w:val="004001D7"/>
    <w:rsid w:val="00410600"/>
    <w:rsid w:val="00430518"/>
    <w:rsid w:val="00480EBF"/>
    <w:rsid w:val="004B7283"/>
    <w:rsid w:val="004D292B"/>
    <w:rsid w:val="004D32B0"/>
    <w:rsid w:val="004D4AD8"/>
    <w:rsid w:val="004F2BF2"/>
    <w:rsid w:val="004F5B15"/>
    <w:rsid w:val="00502B1E"/>
    <w:rsid w:val="00512DE9"/>
    <w:rsid w:val="00516BA1"/>
    <w:rsid w:val="0052017B"/>
    <w:rsid w:val="0053439E"/>
    <w:rsid w:val="005503E3"/>
    <w:rsid w:val="00562230"/>
    <w:rsid w:val="00586B18"/>
    <w:rsid w:val="005913FF"/>
    <w:rsid w:val="005B488F"/>
    <w:rsid w:val="005C4D8C"/>
    <w:rsid w:val="005D4ADE"/>
    <w:rsid w:val="005D71AF"/>
    <w:rsid w:val="005F1178"/>
    <w:rsid w:val="005F4510"/>
    <w:rsid w:val="00622874"/>
    <w:rsid w:val="0063629B"/>
    <w:rsid w:val="00636E72"/>
    <w:rsid w:val="0064125A"/>
    <w:rsid w:val="006478C6"/>
    <w:rsid w:val="00653C86"/>
    <w:rsid w:val="0067245B"/>
    <w:rsid w:val="00674947"/>
    <w:rsid w:val="00691933"/>
    <w:rsid w:val="006A16BE"/>
    <w:rsid w:val="006A3C17"/>
    <w:rsid w:val="006A721C"/>
    <w:rsid w:val="006B2BD5"/>
    <w:rsid w:val="006C1FBB"/>
    <w:rsid w:val="006E5B8C"/>
    <w:rsid w:val="006E6B58"/>
    <w:rsid w:val="00753A6B"/>
    <w:rsid w:val="00756675"/>
    <w:rsid w:val="00760EC7"/>
    <w:rsid w:val="00772096"/>
    <w:rsid w:val="007D6BDA"/>
    <w:rsid w:val="007D7090"/>
    <w:rsid w:val="007F5BCA"/>
    <w:rsid w:val="008022F0"/>
    <w:rsid w:val="00845493"/>
    <w:rsid w:val="0085550D"/>
    <w:rsid w:val="008609B6"/>
    <w:rsid w:val="0086315E"/>
    <w:rsid w:val="00865D3F"/>
    <w:rsid w:val="00894F03"/>
    <w:rsid w:val="008B6358"/>
    <w:rsid w:val="008D1017"/>
    <w:rsid w:val="00924324"/>
    <w:rsid w:val="00927164"/>
    <w:rsid w:val="0093077C"/>
    <w:rsid w:val="009355CF"/>
    <w:rsid w:val="0094193F"/>
    <w:rsid w:val="00945863"/>
    <w:rsid w:val="009566D3"/>
    <w:rsid w:val="009603A7"/>
    <w:rsid w:val="00963B01"/>
    <w:rsid w:val="009701C9"/>
    <w:rsid w:val="00972BBB"/>
    <w:rsid w:val="00990B1E"/>
    <w:rsid w:val="009C4614"/>
    <w:rsid w:val="009C4FBC"/>
    <w:rsid w:val="009D5E37"/>
    <w:rsid w:val="009E069C"/>
    <w:rsid w:val="009F59A5"/>
    <w:rsid w:val="00A13010"/>
    <w:rsid w:val="00A165BD"/>
    <w:rsid w:val="00A375BA"/>
    <w:rsid w:val="00A472AC"/>
    <w:rsid w:val="00A56B0D"/>
    <w:rsid w:val="00A61CF4"/>
    <w:rsid w:val="00A65298"/>
    <w:rsid w:val="00A66F5A"/>
    <w:rsid w:val="00A858EF"/>
    <w:rsid w:val="00A90579"/>
    <w:rsid w:val="00AA6D25"/>
    <w:rsid w:val="00AB317A"/>
    <w:rsid w:val="00AC05A9"/>
    <w:rsid w:val="00AE7BDA"/>
    <w:rsid w:val="00B01A5C"/>
    <w:rsid w:val="00B26479"/>
    <w:rsid w:val="00B27868"/>
    <w:rsid w:val="00B30D79"/>
    <w:rsid w:val="00B95454"/>
    <w:rsid w:val="00B96B2B"/>
    <w:rsid w:val="00BC0F2D"/>
    <w:rsid w:val="00BC3701"/>
    <w:rsid w:val="00BC380C"/>
    <w:rsid w:val="00BC39FA"/>
    <w:rsid w:val="00BD106D"/>
    <w:rsid w:val="00BE0502"/>
    <w:rsid w:val="00C0609E"/>
    <w:rsid w:val="00C306DF"/>
    <w:rsid w:val="00C54F22"/>
    <w:rsid w:val="00C568F0"/>
    <w:rsid w:val="00C56997"/>
    <w:rsid w:val="00C701A3"/>
    <w:rsid w:val="00C74209"/>
    <w:rsid w:val="00C74468"/>
    <w:rsid w:val="00C8097E"/>
    <w:rsid w:val="00CB67F9"/>
    <w:rsid w:val="00CC408E"/>
    <w:rsid w:val="00CD0ACF"/>
    <w:rsid w:val="00CD5D24"/>
    <w:rsid w:val="00CF4606"/>
    <w:rsid w:val="00D01C7D"/>
    <w:rsid w:val="00D20B1E"/>
    <w:rsid w:val="00D30239"/>
    <w:rsid w:val="00D3567C"/>
    <w:rsid w:val="00D60969"/>
    <w:rsid w:val="00D75BA7"/>
    <w:rsid w:val="00D76351"/>
    <w:rsid w:val="00D769A4"/>
    <w:rsid w:val="00D76F3C"/>
    <w:rsid w:val="00DA0AD6"/>
    <w:rsid w:val="00DA7058"/>
    <w:rsid w:val="00DB41C8"/>
    <w:rsid w:val="00DC46AF"/>
    <w:rsid w:val="00DF050B"/>
    <w:rsid w:val="00DF5DE5"/>
    <w:rsid w:val="00DF7A7E"/>
    <w:rsid w:val="00E135C5"/>
    <w:rsid w:val="00E2513B"/>
    <w:rsid w:val="00E25529"/>
    <w:rsid w:val="00E35B91"/>
    <w:rsid w:val="00E3670B"/>
    <w:rsid w:val="00E84C92"/>
    <w:rsid w:val="00E874B1"/>
    <w:rsid w:val="00EA495D"/>
    <w:rsid w:val="00EA6427"/>
    <w:rsid w:val="00EC476A"/>
    <w:rsid w:val="00EC49CE"/>
    <w:rsid w:val="00EC6D80"/>
    <w:rsid w:val="00ED2304"/>
    <w:rsid w:val="00F14D62"/>
    <w:rsid w:val="00F47C18"/>
    <w:rsid w:val="00F56061"/>
    <w:rsid w:val="00F6262B"/>
    <w:rsid w:val="00F66F20"/>
    <w:rsid w:val="00F83D39"/>
    <w:rsid w:val="00F84C91"/>
    <w:rsid w:val="00FA4EFB"/>
    <w:rsid w:val="00FC55BF"/>
    <w:rsid w:val="00FD02EE"/>
    <w:rsid w:val="00FE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F3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qFormat/>
    <w:rsid w:val="00D76F3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D76F3C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通知标题"/>
    <w:basedOn w:val="a0"/>
    <w:rsid w:val="00EC476A"/>
    <w:rPr>
      <w:rFonts w:ascii="Arial" w:eastAsia="黑体" w:hAnsi="Arial"/>
      <w:b/>
      <w:bCs/>
      <w:sz w:val="32"/>
    </w:rPr>
  </w:style>
  <w:style w:type="paragraph" w:customStyle="1" w:styleId="a4">
    <w:name w:val="内容题目"/>
    <w:basedOn w:val="a"/>
    <w:rsid w:val="00EC476A"/>
    <w:pPr>
      <w:jc w:val="center"/>
    </w:pPr>
    <w:rPr>
      <w:rFonts w:ascii="黑体" w:eastAsia="黑体" w:hAnsi="黑体" w:cs="Arial"/>
      <w:b/>
      <w:bCs/>
      <w:sz w:val="32"/>
      <w:szCs w:val="36"/>
    </w:rPr>
  </w:style>
  <w:style w:type="paragraph" w:customStyle="1" w:styleId="a5">
    <w:name w:val="内容"/>
    <w:basedOn w:val="a"/>
    <w:rsid w:val="00EC476A"/>
    <w:pPr>
      <w:spacing w:line="480" w:lineRule="exact"/>
    </w:pPr>
    <w:rPr>
      <w:rFonts w:ascii="宋体" w:hAnsi="宋体" w:cs="宋体"/>
      <w:kern w:val="0"/>
      <w:sz w:val="24"/>
      <w:szCs w:val="20"/>
    </w:rPr>
  </w:style>
  <w:style w:type="paragraph" w:styleId="a6">
    <w:name w:val="footer"/>
    <w:basedOn w:val="a"/>
    <w:link w:val="Char"/>
    <w:semiHidden/>
    <w:unhideWhenUsed/>
    <w:rsid w:val="00D76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semiHidden/>
    <w:rsid w:val="00D76F3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7">
    <w:name w:val="page number"/>
    <w:basedOn w:val="a0"/>
    <w:rsid w:val="00D76F3C"/>
  </w:style>
  <w:style w:type="paragraph" w:styleId="a8">
    <w:name w:val="header"/>
    <w:basedOn w:val="a"/>
    <w:rsid w:val="00CB6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8D10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8D1017"/>
    <w:pPr>
      <w:ind w:firstLineChars="200" w:firstLine="420"/>
    </w:pPr>
    <w:rPr>
      <w:rFonts w:ascii="Times New Roman" w:hAnsi="Times New Roman"/>
      <w:szCs w:val="24"/>
    </w:rPr>
  </w:style>
  <w:style w:type="paragraph" w:styleId="aa">
    <w:name w:val="Normal (Web)"/>
    <w:basedOn w:val="a"/>
    <w:rsid w:val="0075667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FA4EFB"/>
    <w:pPr>
      <w:ind w:firstLineChars="200" w:firstLine="420"/>
    </w:pPr>
  </w:style>
  <w:style w:type="paragraph" w:styleId="ab">
    <w:name w:val="Balloon Text"/>
    <w:basedOn w:val="a"/>
    <w:link w:val="Char0"/>
    <w:rsid w:val="00972BBB"/>
    <w:rPr>
      <w:sz w:val="18"/>
      <w:szCs w:val="18"/>
    </w:rPr>
  </w:style>
  <w:style w:type="character" w:customStyle="1" w:styleId="Char0">
    <w:name w:val="批注框文本 Char"/>
    <w:basedOn w:val="a0"/>
    <w:link w:val="ab"/>
    <w:rsid w:val="00972BB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95</Words>
  <Characters>547</Characters>
  <Application>Microsoft Office Word</Application>
  <DocSecurity>0</DocSecurity>
  <Lines>4</Lines>
  <Paragraphs>1</Paragraphs>
  <ScaleCrop>false</ScaleCrop>
  <Company>.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提案工作简报</dc:title>
  <dc:creator>***</dc:creator>
  <cp:lastModifiedBy>宋希永</cp:lastModifiedBy>
  <cp:revision>10</cp:revision>
  <dcterms:created xsi:type="dcterms:W3CDTF">2016-12-16T03:46:00Z</dcterms:created>
  <dcterms:modified xsi:type="dcterms:W3CDTF">2017-03-17T02:18:00Z</dcterms:modified>
</cp:coreProperties>
</file>